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560"/>
        <w:gridCol w:w="1134"/>
        <w:gridCol w:w="2835"/>
      </w:tblGrid>
      <w:tr w:rsidR="009E6FDE" w:rsidTr="009E69F2">
        <w:trPr>
          <w:cantSplit/>
          <w:trHeight w:hRule="exact" w:val="63"/>
        </w:trPr>
        <w:tc>
          <w:tcPr>
            <w:tcW w:w="4544" w:type="dxa"/>
          </w:tcPr>
          <w:p w:rsidR="009E6FDE" w:rsidRDefault="009E6FDE">
            <w:pPr>
              <w:rPr>
                <w:sz w:val="14"/>
                <w:lang w:val="fr-FR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9E6FDE" w:rsidRDefault="009E6FDE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vAlign w:val="bottom"/>
          </w:tcPr>
          <w:p w:rsidR="009E6FDE" w:rsidRDefault="009E6FDE">
            <w:pPr>
              <w:rPr>
                <w:sz w:val="14"/>
                <w:lang w:val="fr-FR"/>
              </w:rPr>
            </w:pPr>
          </w:p>
        </w:tc>
        <w:tc>
          <w:tcPr>
            <w:tcW w:w="2835" w:type="dxa"/>
            <w:vAlign w:val="bottom"/>
          </w:tcPr>
          <w:p w:rsidR="009E6FDE" w:rsidRDefault="009E6FDE">
            <w:pPr>
              <w:rPr>
                <w:sz w:val="18"/>
                <w:lang w:val="fr-FR"/>
              </w:rPr>
            </w:pPr>
          </w:p>
        </w:tc>
      </w:tr>
    </w:tbl>
    <w:p w:rsidR="009E6FDE" w:rsidRDefault="009E6FDE">
      <w:pPr>
        <w:ind w:right="-70"/>
        <w:rPr>
          <w:lang w:val="fr-FR"/>
        </w:rPr>
      </w:pPr>
    </w:p>
    <w:p w:rsidR="009E6FDE" w:rsidRDefault="009E6FDE">
      <w:pPr>
        <w:framePr w:w="374" w:h="284" w:hSpace="142" w:wrap="around" w:vAnchor="page" w:hAnchor="page" w:x="426" w:y="6125" w:anchorLock="1"/>
        <w:rPr>
          <w:color w:val="C0C0C0"/>
        </w:rPr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9E6FDE" w:rsidRDefault="009E6FDE">
      <w:pPr>
        <w:framePr w:w="210" w:h="289" w:hSpace="142" w:wrap="around" w:vAnchor="page" w:hAnchor="page" w:x="426" w:y="8223" w:anchorLock="1"/>
      </w:pPr>
      <w:r>
        <w:rPr>
          <w:color w:val="FF0000"/>
          <w:sz w:val="12"/>
        </w:rPr>
        <w:t>–</w:t>
      </w:r>
      <w:r>
        <w:rPr>
          <w:color w:val="C0C0C0"/>
        </w:rPr>
        <w:t> </w:t>
      </w:r>
    </w:p>
    <w:p w:rsidR="009E6FDE" w:rsidRDefault="009E6FDE">
      <w:pPr>
        <w:framePr w:w="210" w:h="289" w:hSpace="142" w:wrap="around" w:vAnchor="page" w:hAnchor="page" w:x="426" w:y="13014" w:anchorLock="1"/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9E69F2" w:rsidRPr="00602990" w:rsidRDefault="00745898" w:rsidP="009E69F2">
      <w:pPr>
        <w:rPr>
          <w:b/>
        </w:rPr>
      </w:pPr>
      <w:r>
        <w:rPr>
          <w:b/>
        </w:rPr>
        <w:t>Auszug aus dem Hinweisschreiben</w:t>
      </w:r>
    </w:p>
    <w:p w:rsidR="009E69F2" w:rsidRDefault="009E69F2">
      <w:pPr>
        <w:rPr>
          <w:b/>
        </w:rPr>
      </w:pPr>
    </w:p>
    <w:p w:rsidR="009E6FDE" w:rsidRDefault="004B1D69">
      <w:pPr>
        <w:rPr>
          <w:b/>
        </w:rPr>
      </w:pPr>
      <w:r>
        <w:rPr>
          <w:b/>
        </w:rPr>
        <w:t xml:space="preserve">Bewertung der sprachlichen Darstellungsleistung in </w:t>
      </w:r>
      <w:r w:rsidR="00602990">
        <w:rPr>
          <w:b/>
        </w:rPr>
        <w:t xml:space="preserve">allen </w:t>
      </w:r>
      <w:r>
        <w:rPr>
          <w:b/>
        </w:rPr>
        <w:t xml:space="preserve">Fächern </w:t>
      </w:r>
      <w:r w:rsidR="00C02A73">
        <w:rPr>
          <w:b/>
        </w:rPr>
        <w:t>mit Ausnahme von D</w:t>
      </w:r>
      <w:r w:rsidR="00602990">
        <w:rPr>
          <w:b/>
        </w:rPr>
        <w:t xml:space="preserve">eutsch und </w:t>
      </w:r>
      <w:r w:rsidR="00046E17">
        <w:rPr>
          <w:b/>
        </w:rPr>
        <w:t xml:space="preserve">den </w:t>
      </w:r>
      <w:r w:rsidR="00602990">
        <w:rPr>
          <w:b/>
        </w:rPr>
        <w:t>Fremdsprachen</w:t>
      </w:r>
    </w:p>
    <w:p w:rsidR="009E6FDE" w:rsidRDefault="009E6FDE"/>
    <w:p w:rsidR="00763D65" w:rsidRDefault="00763D65"/>
    <w:p w:rsidR="00161F6F" w:rsidRPr="00161F6F" w:rsidRDefault="00D94640" w:rsidP="00161F6F">
      <w:pPr>
        <w:rPr>
          <w:szCs w:val="22"/>
        </w:rPr>
      </w:pPr>
      <w:r>
        <w:rPr>
          <w:szCs w:val="22"/>
        </w:rPr>
        <w:t>Kriterien</w:t>
      </w:r>
      <w:r w:rsidR="00161F6F" w:rsidRPr="00161F6F">
        <w:rPr>
          <w:szCs w:val="22"/>
        </w:rPr>
        <w:t>:</w:t>
      </w:r>
    </w:p>
    <w:p w:rsidR="00161F6F" w:rsidRDefault="00161F6F" w:rsidP="00161F6F">
      <w:pPr>
        <w:rPr>
          <w:sz w:val="21"/>
          <w:szCs w:val="21"/>
        </w:rPr>
      </w:pPr>
    </w:p>
    <w:p w:rsidR="00161F6F" w:rsidRPr="00161F6F" w:rsidRDefault="00602990" w:rsidP="00602990">
      <w:pPr>
        <w:spacing w:after="160"/>
        <w:ind w:left="2265" w:hanging="2265"/>
        <w:rPr>
          <w:szCs w:val="22"/>
        </w:rPr>
      </w:pPr>
      <w:r>
        <w:rPr>
          <w:b/>
          <w:bCs/>
          <w:szCs w:val="22"/>
        </w:rPr>
        <w:t>Ausdruck</w:t>
      </w:r>
      <w:r w:rsidR="00161F6F" w:rsidRPr="00161F6F">
        <w:rPr>
          <w:b/>
          <w:bCs/>
          <w:szCs w:val="22"/>
        </w:rPr>
        <w:t>:</w:t>
      </w:r>
      <w:r w:rsidR="00161F6F" w:rsidRPr="00161F6F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="00161F6F" w:rsidRPr="00161F6F">
        <w:rPr>
          <w:szCs w:val="22"/>
        </w:rPr>
        <w:t>Klarheit in der Darstellung, vielfältige Lexik, funktionaler Satzbau, A</w:t>
      </w:r>
      <w:r w:rsidR="00161F6F" w:rsidRPr="00161F6F">
        <w:rPr>
          <w:szCs w:val="22"/>
        </w:rPr>
        <w:t>b</w:t>
      </w:r>
      <w:r w:rsidR="00161F6F" w:rsidRPr="00161F6F">
        <w:rPr>
          <w:szCs w:val="22"/>
        </w:rPr>
        <w:t>schnitte/Sätze gut vernetzt, Fach</w:t>
      </w:r>
      <w:r w:rsidR="00161F6F" w:rsidRPr="00161F6F">
        <w:rPr>
          <w:szCs w:val="22"/>
        </w:rPr>
        <w:softHyphen/>
        <w:t>termini sinnvoll und korrekt eingesetzt</w:t>
      </w:r>
    </w:p>
    <w:p w:rsidR="00161F6F" w:rsidRPr="00161F6F" w:rsidRDefault="00161F6F" w:rsidP="00161F6F">
      <w:pPr>
        <w:spacing w:after="160"/>
        <w:ind w:left="1985" w:hanging="1985"/>
        <w:rPr>
          <w:szCs w:val="22"/>
        </w:rPr>
      </w:pPr>
      <w:r w:rsidRPr="00161F6F">
        <w:rPr>
          <w:b/>
          <w:bCs/>
          <w:szCs w:val="22"/>
        </w:rPr>
        <w:t>Sprachliche Normen: </w:t>
      </w:r>
      <w:r w:rsidRPr="00161F6F">
        <w:rPr>
          <w:szCs w:val="22"/>
        </w:rPr>
        <w:t xml:space="preserve">sicherer Umgang mit den Regeln der deutschen Sprache, weitgehend </w:t>
      </w:r>
      <w:r w:rsidRPr="00161F6F">
        <w:rPr>
          <w:szCs w:val="22"/>
        </w:rPr>
        <w:tab/>
        <w:t>fehlerfreie Grammatik und Zei</w:t>
      </w:r>
      <w:r w:rsidR="002D59FE">
        <w:rPr>
          <w:szCs w:val="22"/>
        </w:rPr>
        <w:t xml:space="preserve">chensetzung auch bei komplexen </w:t>
      </w:r>
      <w:r w:rsidRPr="00161F6F">
        <w:rPr>
          <w:szCs w:val="22"/>
        </w:rPr>
        <w:t xml:space="preserve">Strukturen </w:t>
      </w:r>
    </w:p>
    <w:p w:rsidR="00D94640" w:rsidRDefault="00161F6F" w:rsidP="00602990">
      <w:pPr>
        <w:spacing w:after="360"/>
        <w:ind w:left="2265" w:hanging="2265"/>
        <w:rPr>
          <w:sz w:val="21"/>
          <w:szCs w:val="21"/>
        </w:rPr>
      </w:pPr>
      <w:r w:rsidRPr="00161F6F">
        <w:rPr>
          <w:b/>
          <w:bCs/>
          <w:szCs w:val="22"/>
        </w:rPr>
        <w:t>Äußere Form:</w:t>
      </w:r>
      <w:r w:rsidRPr="00161F6F">
        <w:rPr>
          <w:b/>
          <w:bCs/>
          <w:szCs w:val="22"/>
        </w:rPr>
        <w:tab/>
      </w:r>
      <w:r w:rsidR="00602990">
        <w:rPr>
          <w:b/>
          <w:bCs/>
          <w:szCs w:val="22"/>
        </w:rPr>
        <w:tab/>
      </w:r>
      <w:r w:rsidRPr="00161F6F">
        <w:rPr>
          <w:szCs w:val="22"/>
        </w:rPr>
        <w:t>funktionale äußere Gestaltung der Arbeit, gut lesbares Schriftbild, zumeist saubere Korrekturen, gut erkennbare Gliederung</w:t>
      </w:r>
      <w:r>
        <w:rPr>
          <w:sz w:val="21"/>
          <w:szCs w:val="21"/>
        </w:rPr>
        <w:t xml:space="preserve"> in Abschnitte</w:t>
      </w:r>
    </w:p>
    <w:p w:rsidR="00D94640" w:rsidRDefault="00D94640">
      <w:pPr>
        <w:rPr>
          <w:sz w:val="21"/>
          <w:szCs w:val="21"/>
        </w:rPr>
      </w:pPr>
    </w:p>
    <w:p w:rsidR="002A4C76" w:rsidRDefault="00D94640" w:rsidP="00D94640">
      <w:pPr>
        <w:spacing w:after="360"/>
        <w:ind w:left="993" w:hanging="993"/>
        <w:rPr>
          <w:sz w:val="21"/>
          <w:szCs w:val="21"/>
        </w:rPr>
      </w:pPr>
      <w:r>
        <w:rPr>
          <w:sz w:val="21"/>
          <w:szCs w:val="21"/>
        </w:rPr>
        <w:t>Tabelle 1: Verteilung der Bewertungseinheiten für fachliche Leistung und sprachliche Darstellungslei</w:t>
      </w:r>
      <w:r>
        <w:rPr>
          <w:sz w:val="21"/>
          <w:szCs w:val="21"/>
        </w:rPr>
        <w:t>s</w:t>
      </w:r>
      <w:r>
        <w:rPr>
          <w:sz w:val="21"/>
          <w:szCs w:val="21"/>
        </w:rPr>
        <w:t>tung</w:t>
      </w:r>
      <w:r w:rsidR="00763D65">
        <w:rPr>
          <w:sz w:val="21"/>
          <w:szCs w:val="21"/>
        </w:rPr>
        <w:br/>
      </w:r>
      <w:r w:rsidR="00763D65" w:rsidRPr="00763D65">
        <w:rPr>
          <w:sz w:val="18"/>
          <w:szCs w:val="18"/>
        </w:rPr>
        <w:t>(F</w:t>
      </w:r>
      <w:r w:rsidRPr="00763D65">
        <w:rPr>
          <w:sz w:val="18"/>
          <w:szCs w:val="18"/>
        </w:rPr>
        <w:t>ür einen Anteil der sprachlichen Darstellungsleistung von ca. 15%</w:t>
      </w:r>
      <w:r w:rsidR="00763D65" w:rsidRPr="00763D65">
        <w:rPr>
          <w:sz w:val="18"/>
          <w:szCs w:val="18"/>
        </w:rPr>
        <w:t>. Die Fachkonferenzen entscheiden über die Bewertung innerhalb des Rahmens von 10-15% für die sprachliche Darstellungsleistung.)</w:t>
      </w:r>
    </w:p>
    <w:p w:rsidR="00AC1B9B" w:rsidRDefault="00AC1B9B" w:rsidP="00161F6F">
      <w:pPr>
        <w:pStyle w:val="KeinLeerraum"/>
      </w:pPr>
    </w:p>
    <w:tbl>
      <w:tblPr>
        <w:tblW w:w="993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726"/>
        <w:gridCol w:w="727"/>
        <w:gridCol w:w="727"/>
        <w:gridCol w:w="728"/>
        <w:gridCol w:w="727"/>
        <w:gridCol w:w="728"/>
        <w:gridCol w:w="727"/>
        <w:gridCol w:w="728"/>
      </w:tblGrid>
      <w:tr w:rsidR="00161F6F" w:rsidTr="00161F6F">
        <w:trPr>
          <w:trHeight w:val="408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58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6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Bewertungseinheiten (BE)</w:t>
            </w:r>
          </w:p>
        </w:tc>
      </w:tr>
      <w:tr w:rsidR="00161F6F" w:rsidTr="00D94640">
        <w:trPr>
          <w:trHeight w:val="575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Fachliche Leistung</w:t>
            </w:r>
          </w:p>
          <w:p w:rsidR="00161F6F" w:rsidRDefault="00161F6F" w:rsidP="00763D65">
            <w:pPr>
              <w:spacing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19"/>
                <w:szCs w:val="19"/>
              </w:rPr>
              <w:t>(85 % der Gesamtleistung)</w:t>
            </w:r>
            <w:r>
              <w:rPr>
                <w:rStyle w:val="Funotenzeichen"/>
                <w:sz w:val="19"/>
                <w:szCs w:val="19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</w:p>
          <w:p w:rsidR="00161F6F" w:rsidRDefault="00161F6F">
            <w:pPr>
              <w:spacing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19-22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23-28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29-33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34-39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F07FF4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color w:val="C00000"/>
                <w:sz w:val="21"/>
                <w:szCs w:val="21"/>
                <w:lang w:eastAsia="en-US"/>
              </w:rPr>
            </w:pPr>
            <w:r w:rsidRPr="00D94640">
              <w:rPr>
                <w:b/>
                <w:bCs/>
                <w:sz w:val="21"/>
                <w:szCs w:val="21"/>
              </w:rPr>
              <w:t>40-45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46-50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…</w:t>
            </w:r>
          </w:p>
        </w:tc>
      </w:tr>
      <w:tr w:rsidR="00161F6F" w:rsidTr="00D94640">
        <w:trPr>
          <w:trHeight w:val="107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  <w:hideMark/>
          </w:tcPr>
          <w:p w:rsidR="00161F6F" w:rsidRDefault="00161F6F">
            <w:pPr>
              <w:spacing w:after="120"/>
              <w:ind w:left="431" w:right="113" w:hanging="318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Sprachliche Darstellung</w:t>
            </w:r>
            <w:r>
              <w:rPr>
                <w:b/>
                <w:bCs/>
                <w:sz w:val="21"/>
                <w:szCs w:val="21"/>
              </w:rPr>
              <w:t>s</w:t>
            </w:r>
            <w:r>
              <w:rPr>
                <w:b/>
                <w:bCs/>
                <w:sz w:val="21"/>
                <w:szCs w:val="21"/>
              </w:rPr>
              <w:t>leistung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F6F" w:rsidRDefault="00161F6F">
            <w:pPr>
              <w:spacing w:before="120"/>
              <w:ind w:left="317" w:hanging="317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Ausdruck</w:t>
            </w:r>
          </w:p>
          <w:p w:rsidR="00161F6F" w:rsidRDefault="00161F6F">
            <w:pPr>
              <w:ind w:left="317" w:hanging="3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(inkl. Fachbegriffe und fachliche Wendungen)</w:t>
            </w:r>
          </w:p>
          <w:p w:rsidR="00161F6F" w:rsidRDefault="00161F6F">
            <w:pPr>
              <w:spacing w:after="120"/>
              <w:ind w:left="317" w:hanging="317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</w:p>
          <w:p w:rsidR="00161F6F" w:rsidRDefault="00161F6F">
            <w:pPr>
              <w:jc w:val="center"/>
              <w:rPr>
                <w:sz w:val="21"/>
                <w:szCs w:val="21"/>
              </w:rPr>
            </w:pPr>
          </w:p>
          <w:p w:rsidR="00161F6F" w:rsidRDefault="00161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  <w:p w:rsidR="00161F6F" w:rsidRDefault="00161F6F">
            <w:pPr>
              <w:spacing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D94640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 w:rsidRPr="00D94640">
              <w:rPr>
                <w:sz w:val="21"/>
                <w:szCs w:val="21"/>
              </w:rPr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</w:tr>
      <w:tr w:rsidR="00161F6F" w:rsidTr="00D94640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F6F" w:rsidRDefault="00161F6F">
            <w:pPr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/>
              <w:ind w:left="317" w:hanging="317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Sprachliche Normen</w:t>
            </w:r>
          </w:p>
          <w:p w:rsidR="00161F6F" w:rsidRDefault="00161F6F">
            <w:pPr>
              <w:spacing w:after="120"/>
              <w:ind w:left="317" w:hanging="317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(Rechtschreibung, Grammatik, Zeichensetzung)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</w:p>
          <w:p w:rsidR="00161F6F" w:rsidRDefault="00161F6F">
            <w:pPr>
              <w:jc w:val="center"/>
              <w:rPr>
                <w:sz w:val="21"/>
                <w:szCs w:val="21"/>
              </w:rPr>
            </w:pPr>
          </w:p>
          <w:p w:rsidR="00161F6F" w:rsidRDefault="00161F6F">
            <w:pPr>
              <w:spacing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D94640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 w:rsidRPr="00D94640">
              <w:rPr>
                <w:sz w:val="21"/>
                <w:szCs w:val="21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</w:tr>
      <w:tr w:rsidR="00161F6F" w:rsidTr="00D9464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F6F" w:rsidRDefault="00161F6F">
            <w:pPr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ind w:left="317" w:hanging="317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Äußere Form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D94640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 w:rsidRPr="00D94640">
              <w:rPr>
                <w:sz w:val="21"/>
                <w:szCs w:val="21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…</w:t>
            </w:r>
          </w:p>
        </w:tc>
      </w:tr>
      <w:tr w:rsidR="00161F6F" w:rsidTr="00D94640">
        <w:trPr>
          <w:trHeight w:val="575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Sprachliche Darstellungsleistung g</w:t>
            </w:r>
            <w:r>
              <w:rPr>
                <w:b/>
                <w:bCs/>
                <w:sz w:val="21"/>
                <w:szCs w:val="21"/>
              </w:rPr>
              <w:t>e</w:t>
            </w:r>
            <w:r>
              <w:rPr>
                <w:b/>
                <w:bCs/>
                <w:sz w:val="21"/>
                <w:szCs w:val="21"/>
              </w:rPr>
              <w:t>samt</w:t>
            </w:r>
            <w:r>
              <w:rPr>
                <w:b/>
                <w:bCs/>
                <w:sz w:val="21"/>
                <w:szCs w:val="21"/>
              </w:rPr>
              <w:br/>
            </w:r>
            <w:r>
              <w:rPr>
                <w:i/>
                <w:iCs/>
                <w:sz w:val="19"/>
                <w:szCs w:val="19"/>
              </w:rPr>
              <w:t>(15% der Gesamtleistung)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</w:p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D94640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 w:rsidRPr="00D94640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…</w:t>
            </w:r>
          </w:p>
        </w:tc>
      </w:tr>
      <w:tr w:rsidR="00161F6F" w:rsidTr="00D94640"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5"/>
                <w:szCs w:val="25"/>
              </w:rPr>
              <w:t>Gesamtsumme (BE) der LEK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jc w:val="center"/>
              <w:rPr>
                <w:rFonts w:ascii="Calibri" w:eastAsiaTheme="minorHAnsi" w:hAnsi="Calibri"/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</w:rPr>
              <w:t>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22-25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27-32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34-38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40-45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Pr="00D94640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 w:rsidRPr="00D94640">
              <w:rPr>
                <w:b/>
                <w:bCs/>
                <w:sz w:val="21"/>
                <w:szCs w:val="21"/>
              </w:rPr>
              <w:t>47-52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</w:rPr>
              <w:t>54-58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jc w:val="center"/>
              <w:rPr>
                <w:rFonts w:ascii="Calibri" w:eastAsiaTheme="minorHAnsi" w:hAnsi="Calibri"/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</w:rPr>
              <w:t>…</w:t>
            </w:r>
          </w:p>
        </w:tc>
      </w:tr>
    </w:tbl>
    <w:p w:rsidR="00161F6F" w:rsidRDefault="00161F6F" w:rsidP="00161F6F">
      <w:pPr>
        <w:pStyle w:val="KeinLeerraum"/>
        <w:rPr>
          <w:rFonts w:ascii="SenBJS" w:hAnsi="SenBJS"/>
        </w:rPr>
      </w:pPr>
    </w:p>
    <w:p w:rsidR="00AC1B9B" w:rsidRDefault="00AC1B9B" w:rsidP="00AC1B9B">
      <w:pPr>
        <w:spacing w:after="240"/>
        <w:ind w:right="284"/>
      </w:pPr>
    </w:p>
    <w:p w:rsidR="009E69F2" w:rsidRDefault="009E69F2">
      <w:r>
        <w:br w:type="page"/>
      </w:r>
    </w:p>
    <w:p w:rsidR="009E69F2" w:rsidRDefault="00763D65" w:rsidP="009E69F2">
      <w:pPr>
        <w:spacing w:after="360"/>
        <w:ind w:left="993" w:hanging="993"/>
        <w:rPr>
          <w:sz w:val="21"/>
          <w:szCs w:val="21"/>
        </w:rPr>
      </w:pPr>
      <w:r>
        <w:lastRenderedPageBreak/>
        <w:t>Tabelle 2: Maske für die Beurteilung einer Lernerfolgskontrolle</w:t>
      </w:r>
      <w:r w:rsidR="009E69F2">
        <w:br/>
      </w:r>
      <w:r w:rsidR="009E69F2" w:rsidRPr="00763D65">
        <w:rPr>
          <w:sz w:val="18"/>
          <w:szCs w:val="18"/>
        </w:rPr>
        <w:t>(</w:t>
      </w:r>
      <w:r w:rsidR="009E69F2">
        <w:rPr>
          <w:sz w:val="18"/>
          <w:szCs w:val="18"/>
        </w:rPr>
        <w:t>Die erreichbaren BE müssen entsprechend der Tabelle 1 übertragen werden</w:t>
      </w:r>
      <w:r w:rsidR="009E69F2" w:rsidRPr="00763D65">
        <w:rPr>
          <w:sz w:val="18"/>
          <w:szCs w:val="18"/>
        </w:rPr>
        <w:t>.)</w:t>
      </w:r>
    </w:p>
    <w:tbl>
      <w:tblPr>
        <w:tblW w:w="964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749"/>
        <w:gridCol w:w="1749"/>
        <w:gridCol w:w="1750"/>
        <w:gridCol w:w="1702"/>
      </w:tblGrid>
      <w:tr w:rsidR="00161F6F" w:rsidTr="00161F6F"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F6F" w:rsidRDefault="00161F6F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durchgängig angemessen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im Allgemeinen angemessen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nicht angeme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sen</w:t>
            </w:r>
          </w:p>
          <w:p w:rsidR="004D5F79" w:rsidRDefault="004D5F79">
            <w:pPr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( 0 BE) 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erreichte BE /</w:t>
            </w:r>
          </w:p>
          <w:p w:rsidR="00161F6F" w:rsidRDefault="00161F6F">
            <w:pPr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erreichbare BE</w:t>
            </w:r>
          </w:p>
        </w:tc>
      </w:tr>
      <w:tr w:rsidR="00161F6F" w:rsidTr="00161F6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Ausdruck</w:t>
            </w:r>
            <w:r>
              <w:rPr>
                <w:sz w:val="20"/>
                <w:szCs w:val="20"/>
              </w:rPr>
              <w:t>, inkl. Fachbegriffe und fachliche Wendungen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161F6F" w:rsidP="00763D65">
            <w:pPr>
              <w:ind w:left="34"/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763D65">
              <w:rPr>
                <w:sz w:val="20"/>
                <w:szCs w:val="20"/>
              </w:rPr>
              <w:t xml:space="preserve">____ / </w:t>
            </w:r>
            <w:r w:rsidR="00763D65" w:rsidRPr="00763D65">
              <w:rPr>
                <w:sz w:val="20"/>
                <w:szCs w:val="20"/>
              </w:rPr>
              <w:t>___</w:t>
            </w:r>
            <w:r w:rsidRPr="00763D65">
              <w:rPr>
                <w:sz w:val="20"/>
                <w:szCs w:val="20"/>
              </w:rPr>
              <w:t xml:space="preserve"> BE</w:t>
            </w:r>
          </w:p>
        </w:tc>
      </w:tr>
      <w:tr w:rsidR="00161F6F" w:rsidTr="00161F6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Sprachliche Normen</w:t>
            </w:r>
          </w:p>
          <w:p w:rsidR="00161F6F" w:rsidRDefault="00161F6F">
            <w:pPr>
              <w:spacing w:after="120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(Rechtschreibung, Gramm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tik, Zeichensetzung)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763D65">
            <w:pPr>
              <w:ind w:left="34"/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763D65">
              <w:rPr>
                <w:sz w:val="20"/>
                <w:szCs w:val="20"/>
              </w:rPr>
              <w:t>____ / ___</w:t>
            </w:r>
            <w:r w:rsidR="00161F6F" w:rsidRPr="00763D65">
              <w:rPr>
                <w:sz w:val="20"/>
                <w:szCs w:val="20"/>
              </w:rPr>
              <w:t xml:space="preserve"> BE</w:t>
            </w:r>
          </w:p>
        </w:tc>
      </w:tr>
      <w:tr w:rsidR="00161F6F" w:rsidTr="00161F6F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Äußere Form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Default="00161F6F">
            <w:pPr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rFonts w:ascii="Wingdings 2" w:hAnsi="Wingdings 2"/>
                <w:sz w:val="28"/>
                <w:szCs w:val="28"/>
              </w:rPr>
              <w:t>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161F6F" w:rsidP="00763D65">
            <w:pPr>
              <w:ind w:left="34"/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763D65">
              <w:rPr>
                <w:sz w:val="20"/>
                <w:szCs w:val="20"/>
              </w:rPr>
              <w:t xml:space="preserve">____ / </w:t>
            </w:r>
            <w:r w:rsidR="00763D65" w:rsidRPr="00763D65">
              <w:rPr>
                <w:sz w:val="20"/>
                <w:szCs w:val="20"/>
              </w:rPr>
              <w:t>___</w:t>
            </w:r>
            <w:r w:rsidRPr="00763D65">
              <w:rPr>
                <w:sz w:val="20"/>
                <w:szCs w:val="20"/>
              </w:rPr>
              <w:t xml:space="preserve"> BE</w:t>
            </w:r>
          </w:p>
        </w:tc>
      </w:tr>
      <w:tr w:rsidR="00161F6F" w:rsidTr="00161F6F">
        <w:tc>
          <w:tcPr>
            <w:tcW w:w="79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erreichte BE für die sprachliche Darstellungsleistung: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161F6F" w:rsidP="00763D65">
            <w:pPr>
              <w:ind w:left="34"/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763D65">
              <w:rPr>
                <w:sz w:val="20"/>
                <w:szCs w:val="20"/>
              </w:rPr>
              <w:t xml:space="preserve">____ / </w:t>
            </w:r>
            <w:r w:rsidR="00763D65" w:rsidRPr="00763D65">
              <w:rPr>
                <w:sz w:val="20"/>
                <w:szCs w:val="20"/>
              </w:rPr>
              <w:t>___</w:t>
            </w:r>
            <w:r w:rsidRPr="00763D65">
              <w:rPr>
                <w:sz w:val="20"/>
                <w:szCs w:val="20"/>
              </w:rPr>
              <w:t xml:space="preserve"> BE</w:t>
            </w:r>
          </w:p>
        </w:tc>
      </w:tr>
      <w:tr w:rsidR="00161F6F" w:rsidTr="00161F6F">
        <w:tc>
          <w:tcPr>
            <w:tcW w:w="79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erreichte BE für die fachliche Leistung: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161F6F" w:rsidP="00763D65">
            <w:pPr>
              <w:ind w:left="34"/>
              <w:jc w:val="center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763D65">
              <w:rPr>
                <w:sz w:val="20"/>
                <w:szCs w:val="20"/>
              </w:rPr>
              <w:t xml:space="preserve">____ / </w:t>
            </w:r>
            <w:r w:rsidR="00763D65" w:rsidRPr="00763D65">
              <w:rPr>
                <w:sz w:val="20"/>
                <w:szCs w:val="20"/>
              </w:rPr>
              <w:t>___</w:t>
            </w:r>
            <w:r w:rsidRPr="00763D65">
              <w:rPr>
                <w:sz w:val="20"/>
                <w:szCs w:val="20"/>
              </w:rPr>
              <w:t xml:space="preserve"> BE</w:t>
            </w:r>
          </w:p>
        </w:tc>
      </w:tr>
      <w:tr w:rsidR="00161F6F" w:rsidTr="00161F6F">
        <w:tc>
          <w:tcPr>
            <w:tcW w:w="79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6F" w:rsidRDefault="00161F6F">
            <w:pPr>
              <w:spacing w:before="120" w:after="120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4"/>
              </w:rPr>
              <w:t>Gesamtsumme (BE) der LEK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F6F" w:rsidRPr="00763D65" w:rsidRDefault="00161F6F" w:rsidP="00763D65">
            <w:pPr>
              <w:ind w:left="34"/>
              <w:jc w:val="center"/>
              <w:rPr>
                <w:rFonts w:ascii="Calibri" w:eastAsiaTheme="minorHAnsi" w:hAnsi="Calibri"/>
                <w:b/>
                <w:bCs/>
                <w:sz w:val="20"/>
                <w:szCs w:val="20"/>
                <w:lang w:eastAsia="en-US"/>
              </w:rPr>
            </w:pPr>
            <w:r w:rsidRPr="00763D65">
              <w:rPr>
                <w:b/>
                <w:bCs/>
                <w:sz w:val="24"/>
              </w:rPr>
              <w:t xml:space="preserve">____ / </w:t>
            </w:r>
            <w:r w:rsidR="00763D65" w:rsidRPr="00763D65">
              <w:rPr>
                <w:b/>
                <w:bCs/>
                <w:sz w:val="24"/>
              </w:rPr>
              <w:t>___</w:t>
            </w:r>
            <w:r w:rsidRPr="00763D65">
              <w:rPr>
                <w:b/>
                <w:bCs/>
                <w:sz w:val="24"/>
              </w:rPr>
              <w:t xml:space="preserve"> BE</w:t>
            </w:r>
          </w:p>
        </w:tc>
      </w:tr>
    </w:tbl>
    <w:p w:rsidR="00983BB9" w:rsidRDefault="00983BB9" w:rsidP="00161F6F">
      <w:pPr>
        <w:rPr>
          <w:szCs w:val="22"/>
        </w:rPr>
      </w:pPr>
    </w:p>
    <w:p w:rsidR="00983BB9" w:rsidRDefault="00983BB9" w:rsidP="00161F6F">
      <w:pPr>
        <w:ind w:right="284"/>
        <w:rPr>
          <w:szCs w:val="22"/>
        </w:rPr>
      </w:pPr>
    </w:p>
    <w:p w:rsidR="001252E8" w:rsidRDefault="001252E8" w:rsidP="001252E8">
      <w:pPr>
        <w:spacing w:before="120"/>
        <w:ind w:right="284"/>
        <w:rPr>
          <w:szCs w:val="22"/>
        </w:rPr>
      </w:pPr>
      <w:r w:rsidRPr="00161F6F">
        <w:rPr>
          <w:szCs w:val="22"/>
        </w:rPr>
        <w:t xml:space="preserve">In Fächern, in denen </w:t>
      </w:r>
      <w:r>
        <w:rPr>
          <w:szCs w:val="22"/>
        </w:rPr>
        <w:t xml:space="preserve">die sprachlichen Normen </w:t>
      </w:r>
      <w:r w:rsidRPr="00161F6F">
        <w:rPr>
          <w:b/>
          <w:bCs/>
          <w:szCs w:val="22"/>
        </w:rPr>
        <w:t xml:space="preserve">nur </w:t>
      </w:r>
      <w:r>
        <w:rPr>
          <w:b/>
          <w:bCs/>
          <w:szCs w:val="22"/>
        </w:rPr>
        <w:t xml:space="preserve">in </w:t>
      </w:r>
      <w:r w:rsidRPr="00161F6F">
        <w:rPr>
          <w:b/>
          <w:bCs/>
          <w:szCs w:val="22"/>
        </w:rPr>
        <w:t>bestimmte</w:t>
      </w:r>
      <w:r>
        <w:rPr>
          <w:b/>
          <w:bCs/>
          <w:szCs w:val="22"/>
        </w:rPr>
        <w:t>n</w:t>
      </w:r>
      <w:r w:rsidRPr="00161F6F">
        <w:rPr>
          <w:szCs w:val="22"/>
        </w:rPr>
        <w:t xml:space="preserve"> </w:t>
      </w:r>
      <w:r w:rsidRPr="00161F6F">
        <w:rPr>
          <w:b/>
          <w:bCs/>
          <w:szCs w:val="22"/>
        </w:rPr>
        <w:t>Teilaufgaben</w:t>
      </w:r>
      <w:r w:rsidRPr="00161F6F">
        <w:rPr>
          <w:szCs w:val="22"/>
        </w:rPr>
        <w:t xml:space="preserve"> </w:t>
      </w:r>
      <w:r>
        <w:rPr>
          <w:szCs w:val="22"/>
        </w:rPr>
        <w:t xml:space="preserve">bewertet werden können, weil sie nur hier </w:t>
      </w:r>
      <w:r w:rsidRPr="00161F6F">
        <w:rPr>
          <w:szCs w:val="22"/>
        </w:rPr>
        <w:t>einen sprachlichen Anteil haben</w:t>
      </w:r>
      <w:r>
        <w:rPr>
          <w:szCs w:val="22"/>
        </w:rPr>
        <w:t xml:space="preserve"> (z.B. Kunst, Mathematik) </w:t>
      </w:r>
      <w:r w:rsidRPr="00161F6F">
        <w:rPr>
          <w:szCs w:val="22"/>
        </w:rPr>
        <w:t xml:space="preserve"> </w:t>
      </w:r>
      <w:r>
        <w:rPr>
          <w:szCs w:val="22"/>
        </w:rPr>
        <w:t>oder der sprachliche Anteil schon anderweitig bewertet wird (Latein, Altgriechisch)</w:t>
      </w:r>
      <w:r w:rsidRPr="00161F6F">
        <w:rPr>
          <w:szCs w:val="22"/>
        </w:rPr>
        <w:t xml:space="preserve"> ist entspr</w:t>
      </w:r>
      <w:r w:rsidRPr="00161F6F">
        <w:rPr>
          <w:szCs w:val="22"/>
        </w:rPr>
        <w:t>e</w:t>
      </w:r>
      <w:r w:rsidRPr="00161F6F">
        <w:rPr>
          <w:szCs w:val="22"/>
        </w:rPr>
        <w:t>chend auch nur für diese Teilaufgaben eine Bew</w:t>
      </w:r>
      <w:r>
        <w:rPr>
          <w:szCs w:val="22"/>
        </w:rPr>
        <w:t>ertung der sprachlichen Darstel</w:t>
      </w:r>
      <w:r w:rsidRPr="00161F6F">
        <w:rPr>
          <w:szCs w:val="22"/>
        </w:rPr>
        <w:t xml:space="preserve">lungsleistung vorzusehen. </w:t>
      </w:r>
    </w:p>
    <w:p w:rsidR="001252E8" w:rsidRDefault="001252E8" w:rsidP="001252E8">
      <w:pPr>
        <w:spacing w:before="120"/>
        <w:ind w:right="284"/>
        <w:rPr>
          <w:szCs w:val="22"/>
        </w:rPr>
      </w:pPr>
    </w:p>
    <w:p w:rsidR="001252E8" w:rsidRPr="00161F6F" w:rsidRDefault="001252E8" w:rsidP="001252E8">
      <w:pPr>
        <w:spacing w:before="120" w:after="120"/>
        <w:ind w:right="284"/>
        <w:rPr>
          <w:szCs w:val="22"/>
        </w:rPr>
      </w:pPr>
      <w:r w:rsidRPr="00161F6F">
        <w:rPr>
          <w:szCs w:val="22"/>
        </w:rPr>
        <w:t>Bei Schülerinnen und Schülern</w:t>
      </w:r>
      <w:r>
        <w:rPr>
          <w:szCs w:val="22"/>
        </w:rPr>
        <w:t xml:space="preserve"> mit Lese- und Rechtschreibschwierigkeiten </w:t>
      </w:r>
      <w:r w:rsidRPr="00A74B61">
        <w:rPr>
          <w:b/>
          <w:szCs w:val="22"/>
        </w:rPr>
        <w:t>(LRS)</w:t>
      </w:r>
      <w:r w:rsidRPr="00161F6F">
        <w:rPr>
          <w:szCs w:val="22"/>
        </w:rPr>
        <w:t xml:space="preserve">, für die </w:t>
      </w:r>
      <w:r>
        <w:rPr>
          <w:szCs w:val="22"/>
        </w:rPr>
        <w:t xml:space="preserve">nach §16 (3) der Sekundarstufen I-Verordnung Besonderheiten in der Leistungsbewertung festgelegt wurden, </w:t>
      </w:r>
      <w:r w:rsidRPr="00161F6F">
        <w:rPr>
          <w:szCs w:val="22"/>
        </w:rPr>
        <w:t xml:space="preserve">werden </w:t>
      </w:r>
      <w:r>
        <w:rPr>
          <w:szCs w:val="22"/>
        </w:rPr>
        <w:t xml:space="preserve">die </w:t>
      </w:r>
      <w:r w:rsidRPr="00161F6F">
        <w:rPr>
          <w:szCs w:val="22"/>
        </w:rPr>
        <w:t xml:space="preserve">Bewertungseinheiten für „Sprachliche Normen“ </w:t>
      </w:r>
      <w:r>
        <w:rPr>
          <w:szCs w:val="22"/>
        </w:rPr>
        <w:t>entsprechend der getroff</w:t>
      </w:r>
      <w:r>
        <w:rPr>
          <w:szCs w:val="22"/>
        </w:rPr>
        <w:t>e</w:t>
      </w:r>
      <w:r>
        <w:rPr>
          <w:szCs w:val="22"/>
        </w:rPr>
        <w:t>nen Festlegung individuell angepasst.</w:t>
      </w:r>
      <w:r w:rsidRPr="00161F6F">
        <w:rPr>
          <w:szCs w:val="22"/>
        </w:rPr>
        <w:t xml:space="preserve"> </w:t>
      </w:r>
    </w:p>
    <w:p w:rsidR="00983BB9" w:rsidRDefault="00983BB9"/>
    <w:sectPr w:rsidR="00983BB9" w:rsidSect="002A4C7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567" w:right="1134" w:bottom="709" w:left="1418" w:header="567" w:footer="51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6F" w:rsidRDefault="00161F6F">
      <w:r>
        <w:separator/>
      </w:r>
    </w:p>
  </w:endnote>
  <w:endnote w:type="continuationSeparator" w:id="0">
    <w:p w:rsidR="00161F6F" w:rsidRDefault="001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nBJS">
    <w:panose1 w:val="020B0600000000000000"/>
    <w:charset w:val="00"/>
    <w:family w:val="swiss"/>
    <w:pitch w:val="variable"/>
    <w:sig w:usb0="00000003" w:usb1="00000000" w:usb2="00000000" w:usb3="00000000" w:csb0="00000001" w:csb1="00000000"/>
    <w:embedRegular r:id="rId1" w:fontKey="{0AF9ABEF-66A3-43D6-AADD-4F49A5E0F1C5}"/>
    <w:embedBold r:id="rId2" w:fontKey="{33D63E8C-A350-4124-80FB-0CBA5CCEBA35}"/>
    <w:embedItalic r:id="rId3" w:fontKey="{2603D8AF-89C7-48D0-8D8B-3D1C4BFB0C2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A07EF51-D93E-4251-A36D-C01F1549C65C}"/>
  </w:font>
  <w:font w:name="Berlin Log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E8" w:rsidRPr="006D6045" w:rsidRDefault="001252E8" w:rsidP="001252E8">
    <w:pPr>
      <w:rPr>
        <w:noProof/>
        <w:sz w:val="12"/>
        <w:szCs w:val="12"/>
      </w:rPr>
    </w:pPr>
    <w:r w:rsidRPr="001252E8">
      <w:rPr>
        <w:noProof/>
        <w:sz w:val="12"/>
        <w:szCs w:val="12"/>
      </w:rPr>
      <w:t>Auszug aus dem Hinweisschreiben</w:t>
    </w:r>
    <w:r>
      <w:rPr>
        <w:noProof/>
        <w:sz w:val="12"/>
        <w:szCs w:val="12"/>
      </w:rPr>
      <w:t xml:space="preserve">: </w:t>
    </w:r>
    <w:r w:rsidRPr="001252E8">
      <w:rPr>
        <w:noProof/>
        <w:sz w:val="12"/>
        <w:szCs w:val="12"/>
      </w:rPr>
      <w:t>Bewertung der sprachlichen Darstellungsleistung in allen Fächern mit Ausnahme von Deutsch und den Fremdsprachen</w:t>
    </w:r>
    <w:r>
      <w:rPr>
        <w:noProof/>
        <w:sz w:val="12"/>
        <w:szCs w:val="12"/>
      </w:rPr>
      <w:t>, 8/2017</w:t>
    </w:r>
  </w:p>
  <w:p w:rsidR="001252E8" w:rsidRDefault="001252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5" w:rsidRDefault="006D6045">
    <w:pPr>
      <w:rPr>
        <w:b/>
        <w:noProof/>
        <w:sz w:val="12"/>
        <w:szCs w:val="12"/>
      </w:rPr>
    </w:pPr>
  </w:p>
  <w:p w:rsidR="006D6045" w:rsidRPr="006D6045" w:rsidRDefault="001252E8" w:rsidP="001252E8">
    <w:pPr>
      <w:rPr>
        <w:noProof/>
        <w:sz w:val="12"/>
        <w:szCs w:val="12"/>
      </w:rPr>
    </w:pPr>
    <w:r w:rsidRPr="001252E8">
      <w:rPr>
        <w:noProof/>
        <w:sz w:val="12"/>
        <w:szCs w:val="12"/>
      </w:rPr>
      <w:t>Auszug aus dem Hinweisschreiben</w:t>
    </w:r>
    <w:r>
      <w:rPr>
        <w:noProof/>
        <w:sz w:val="12"/>
        <w:szCs w:val="12"/>
      </w:rPr>
      <w:t xml:space="preserve">: </w:t>
    </w:r>
    <w:r w:rsidRPr="001252E8">
      <w:rPr>
        <w:noProof/>
        <w:sz w:val="12"/>
        <w:szCs w:val="12"/>
      </w:rPr>
      <w:t>Bewertung der sprachlichen Darstellungsleistung in allen Fächern mit Ausnahme von Deutsch und den Fremdsprachen</w:t>
    </w:r>
    <w:r>
      <w:rPr>
        <w:noProof/>
        <w:sz w:val="12"/>
        <w:szCs w:val="12"/>
      </w:rPr>
      <w:t>, 8/2017</w:t>
    </w:r>
  </w:p>
  <w:tbl>
    <w:tblPr>
      <w:tblW w:w="919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43"/>
      <w:gridCol w:w="798"/>
      <w:gridCol w:w="672"/>
      <w:gridCol w:w="1596"/>
      <w:gridCol w:w="949"/>
      <w:gridCol w:w="3733"/>
    </w:tblGrid>
    <w:tr w:rsidR="00AB1812" w:rsidTr="004709B9">
      <w:trPr>
        <w:cantSplit/>
      </w:trPr>
      <w:tc>
        <w:tcPr>
          <w:tcW w:w="1443" w:type="dxa"/>
        </w:tcPr>
        <w:p w:rsidR="00AB1812" w:rsidRDefault="00AB1812">
          <w:pPr>
            <w:rPr>
              <w:sz w:val="12"/>
            </w:rPr>
          </w:pPr>
          <w:bookmarkStart w:id="2" w:name="Bankverbindungen" w:colFirst="0" w:colLast="4"/>
        </w:p>
      </w:tc>
      <w:tc>
        <w:tcPr>
          <w:tcW w:w="4015" w:type="dxa"/>
          <w:gridSpan w:val="4"/>
        </w:tcPr>
        <w:p w:rsidR="00AB1812" w:rsidRDefault="00AB1812">
          <w:pPr>
            <w:rPr>
              <w:sz w:val="12"/>
            </w:rPr>
          </w:pPr>
        </w:p>
      </w:tc>
      <w:tc>
        <w:tcPr>
          <w:tcW w:w="3733" w:type="dxa"/>
        </w:tcPr>
        <w:p w:rsidR="00AB1812" w:rsidRDefault="00AB1812">
          <w:pPr>
            <w:rPr>
              <w:rStyle w:val="Seitenzahl"/>
              <w:sz w:val="12"/>
            </w:rPr>
          </w:pPr>
          <w:bookmarkStart w:id="3" w:name="SprechzeitenHead"/>
          <w:bookmarkEnd w:id="3"/>
        </w:p>
      </w:tc>
    </w:tr>
    <w:tr w:rsidR="00AB1812" w:rsidTr="004709B9">
      <w:trPr>
        <w:cantSplit/>
      </w:trPr>
      <w:tc>
        <w:tcPr>
          <w:tcW w:w="1443" w:type="dxa"/>
        </w:tcPr>
        <w:p w:rsidR="00AB1812" w:rsidRDefault="00AB1812">
          <w:pPr>
            <w:rPr>
              <w:sz w:val="12"/>
            </w:rPr>
          </w:pPr>
        </w:p>
      </w:tc>
      <w:tc>
        <w:tcPr>
          <w:tcW w:w="798" w:type="dxa"/>
        </w:tcPr>
        <w:p w:rsidR="00AB1812" w:rsidRDefault="00AB1812">
          <w:pPr>
            <w:rPr>
              <w:sz w:val="12"/>
              <w:lang w:val="fr-FR"/>
            </w:rPr>
          </w:pPr>
        </w:p>
      </w:tc>
      <w:tc>
        <w:tcPr>
          <w:tcW w:w="672" w:type="dxa"/>
        </w:tcPr>
        <w:p w:rsidR="00AB1812" w:rsidRDefault="00AB1812">
          <w:pPr>
            <w:rPr>
              <w:sz w:val="12"/>
              <w:lang w:val="fr-FR"/>
            </w:rPr>
          </w:pPr>
        </w:p>
      </w:tc>
      <w:tc>
        <w:tcPr>
          <w:tcW w:w="1596" w:type="dxa"/>
        </w:tcPr>
        <w:p w:rsidR="00AB1812" w:rsidRDefault="00AB1812">
          <w:pPr>
            <w:rPr>
              <w:sz w:val="12"/>
              <w:lang w:val="fr-FR"/>
            </w:rPr>
          </w:pPr>
        </w:p>
      </w:tc>
      <w:tc>
        <w:tcPr>
          <w:tcW w:w="949" w:type="dxa"/>
        </w:tcPr>
        <w:p w:rsidR="00AB1812" w:rsidRDefault="00AB1812">
          <w:pPr>
            <w:rPr>
              <w:sz w:val="12"/>
            </w:rPr>
          </w:pPr>
        </w:p>
      </w:tc>
      <w:tc>
        <w:tcPr>
          <w:tcW w:w="3733" w:type="dxa"/>
        </w:tcPr>
        <w:p w:rsidR="00AB1812" w:rsidRPr="004709B9" w:rsidRDefault="00AB1812">
          <w:pPr>
            <w:rPr>
              <w:rStyle w:val="Seitenzahl"/>
              <w:sz w:val="12"/>
              <w:szCs w:val="12"/>
            </w:rPr>
          </w:pPr>
          <w:bookmarkStart w:id="4" w:name="Sprechzeiten"/>
          <w:bookmarkEnd w:id="4"/>
        </w:p>
        <w:p w:rsidR="00AB1812" w:rsidRPr="004709B9" w:rsidRDefault="00AB1812">
          <w:pPr>
            <w:rPr>
              <w:rStyle w:val="Seitenzahl"/>
              <w:sz w:val="12"/>
              <w:szCs w:val="12"/>
            </w:rPr>
          </w:pPr>
        </w:p>
        <w:p w:rsidR="00AB1812" w:rsidRPr="004709B9" w:rsidRDefault="00AB1812">
          <w:pPr>
            <w:rPr>
              <w:sz w:val="12"/>
              <w:szCs w:val="12"/>
            </w:rPr>
          </w:pPr>
        </w:p>
      </w:tc>
    </w:tr>
    <w:bookmarkEnd w:id="2"/>
  </w:tbl>
  <w:p w:rsidR="00AB1812" w:rsidRDefault="00AB1812">
    <w:pPr>
      <w:pStyle w:val="Kopfzeile"/>
      <w:tabs>
        <w:tab w:val="clear" w:pos="4819"/>
        <w:tab w:val="left" w:pos="7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6F" w:rsidRDefault="00161F6F">
      <w:r>
        <w:separator/>
      </w:r>
    </w:p>
  </w:footnote>
  <w:footnote w:type="continuationSeparator" w:id="0">
    <w:p w:rsidR="00161F6F" w:rsidRDefault="0016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AB1812">
      <w:trPr>
        <w:cantSplit/>
      </w:trPr>
      <w:tc>
        <w:tcPr>
          <w:tcW w:w="6874" w:type="dxa"/>
        </w:tcPr>
        <w:p w:rsidR="00AB1812" w:rsidRDefault="00AB1812">
          <w:pPr>
            <w:pStyle w:val="Kopfzeile"/>
            <w:rPr>
              <w:sz w:val="30"/>
            </w:rPr>
          </w:pPr>
        </w:p>
        <w:p w:rsidR="00AB1812" w:rsidRDefault="00AB1812">
          <w:pPr>
            <w:pStyle w:val="Kopfzeile"/>
          </w:pPr>
        </w:p>
        <w:p w:rsidR="00AB1812" w:rsidRDefault="00AB1812">
          <w:pPr>
            <w:pStyle w:val="Kopfzeile"/>
          </w:pPr>
          <w:r>
            <w:t xml:space="preserve">—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97C20">
            <w:rPr>
              <w:noProof/>
            </w:rPr>
            <w:t>2</w:t>
          </w:r>
          <w:r>
            <w:fldChar w:fldCharType="end"/>
          </w:r>
          <w:r>
            <w:t xml:space="preserve"> —</w:t>
          </w:r>
          <w:r>
            <w:tab/>
          </w:r>
        </w:p>
      </w:tc>
      <w:tc>
        <w:tcPr>
          <w:tcW w:w="3048" w:type="dxa"/>
        </w:tcPr>
        <w:p w:rsidR="00AB1812" w:rsidRDefault="00AB1812">
          <w:pPr>
            <w:pStyle w:val="Kopfzeile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:rsidR="00AB1812" w:rsidRDefault="00AB1812">
    <w:pPr>
      <w:pStyle w:val="Kopfzeile"/>
    </w:pPr>
  </w:p>
  <w:p w:rsidR="00AB1812" w:rsidRDefault="00AB1812">
    <w:pPr>
      <w:pStyle w:val="Kopfzeile"/>
      <w:tabs>
        <w:tab w:val="clear" w:pos="4819"/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9"/>
      <w:gridCol w:w="2841"/>
    </w:tblGrid>
    <w:tr w:rsidR="00ED1BE9" w:rsidTr="00ED1BE9">
      <w:trPr>
        <w:cantSplit/>
      </w:trPr>
      <w:tc>
        <w:tcPr>
          <w:tcW w:w="7239" w:type="dxa"/>
        </w:tcPr>
        <w:p w:rsidR="00ED1BE9" w:rsidRDefault="00ED1BE9">
          <w:pPr>
            <w:pStyle w:val="Kopfzeile"/>
            <w:spacing w:before="170"/>
            <w:rPr>
              <w:sz w:val="28"/>
            </w:rPr>
          </w:pPr>
          <w:r>
            <w:rPr>
              <w:sz w:val="28"/>
            </w:rPr>
            <w:t xml:space="preserve">Senatsverwaltung für Bildung, Jugend und </w:t>
          </w:r>
          <w:r w:rsidR="00DB3260">
            <w:rPr>
              <w:sz w:val="28"/>
            </w:rPr>
            <w:t>Familie</w:t>
          </w:r>
        </w:p>
        <w:p w:rsidR="00ED1BE9" w:rsidRDefault="00ED1BE9" w:rsidP="002D59FE">
          <w:pPr>
            <w:pStyle w:val="Kopfzeile"/>
          </w:pPr>
        </w:p>
      </w:tc>
      <w:tc>
        <w:tcPr>
          <w:tcW w:w="2841" w:type="dxa"/>
          <w:hideMark/>
        </w:tcPr>
        <w:p w:rsidR="00ED1BE9" w:rsidRDefault="00063D6E">
          <w:pPr>
            <w:pStyle w:val="Kopfzeile"/>
            <w:rPr>
              <w:rFonts w:ascii="Berlin Logo" w:hAnsi="Berlin Logo"/>
              <w:color w:val="FF0000"/>
              <w:sz w:val="72"/>
            </w:rPr>
          </w:pPr>
          <w:r>
            <w:rPr>
              <w:noProof/>
              <w:szCs w:val="22"/>
            </w:rPr>
            <w:drawing>
              <wp:inline distT="0" distB="0" distL="0" distR="0" wp14:anchorId="7254D279" wp14:editId="3B1B711B">
                <wp:extent cx="1790700" cy="428625"/>
                <wp:effectExtent l="0" t="0" r="0" b="9525"/>
                <wp:docPr id="1" name="Bild 1" descr="beb_logo_medium_rgb_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b_logo_medium_rgb_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1812" w:rsidRDefault="00AB1812">
    <w:pPr>
      <w:pStyle w:val="Kopfzeile"/>
      <w:rPr>
        <w:sz w:val="2"/>
      </w:rPr>
    </w:pPr>
    <w:bookmarkStart w:id="1" w:name="Behoerde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umformat" w:val="1"/>
    <w:docVar w:name="Konto" w:val="0"/>
  </w:docVars>
  <w:rsids>
    <w:rsidRoot w:val="00161F6F"/>
    <w:rsid w:val="00046E17"/>
    <w:rsid w:val="00063D6E"/>
    <w:rsid w:val="00085F21"/>
    <w:rsid w:val="001252E8"/>
    <w:rsid w:val="00161F6F"/>
    <w:rsid w:val="001D6883"/>
    <w:rsid w:val="001F0122"/>
    <w:rsid w:val="002A4C76"/>
    <w:rsid w:val="002D59FE"/>
    <w:rsid w:val="00360773"/>
    <w:rsid w:val="003C35A3"/>
    <w:rsid w:val="004709B9"/>
    <w:rsid w:val="004B1D69"/>
    <w:rsid w:val="004B635D"/>
    <w:rsid w:val="004D5F79"/>
    <w:rsid w:val="004F2F3D"/>
    <w:rsid w:val="00570C29"/>
    <w:rsid w:val="005A79BF"/>
    <w:rsid w:val="005D7742"/>
    <w:rsid w:val="005E0274"/>
    <w:rsid w:val="00602990"/>
    <w:rsid w:val="006D6045"/>
    <w:rsid w:val="00745898"/>
    <w:rsid w:val="00763D65"/>
    <w:rsid w:val="009006BD"/>
    <w:rsid w:val="00983BB9"/>
    <w:rsid w:val="009E69F2"/>
    <w:rsid w:val="009E6FDE"/>
    <w:rsid w:val="00A4648C"/>
    <w:rsid w:val="00AB1812"/>
    <w:rsid w:val="00AC1B9B"/>
    <w:rsid w:val="00B97C20"/>
    <w:rsid w:val="00C02A73"/>
    <w:rsid w:val="00C12472"/>
    <w:rsid w:val="00C77043"/>
    <w:rsid w:val="00CC152D"/>
    <w:rsid w:val="00D65BCE"/>
    <w:rsid w:val="00D664B9"/>
    <w:rsid w:val="00D678F9"/>
    <w:rsid w:val="00D77ADF"/>
    <w:rsid w:val="00D94640"/>
    <w:rsid w:val="00DB3260"/>
    <w:rsid w:val="00E572E5"/>
    <w:rsid w:val="00E97954"/>
    <w:rsid w:val="00ED1BE9"/>
    <w:rsid w:val="00F07FF4"/>
    <w:rsid w:val="00F227C7"/>
    <w:rsid w:val="00F31908"/>
    <w:rsid w:val="00F60B59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SenBJS" w:hAnsi="SenBJS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Hyperlink">
    <w:name w:val="Hyperlink"/>
    <w:basedOn w:val="Absatz-Standardschriftart"/>
    <w:rsid w:val="006D6045"/>
    <w:rPr>
      <w:color w:val="0000FF" w:themeColor="hyperlink"/>
      <w:u w:val="single"/>
    </w:rPr>
  </w:style>
  <w:style w:type="character" w:customStyle="1" w:styleId="KopfzeileZchn">
    <w:name w:val="Kopfzeile Zchn"/>
    <w:link w:val="Kopfzeile"/>
    <w:rsid w:val="00ED1BE9"/>
    <w:rPr>
      <w:rFonts w:ascii="SenBJS" w:hAnsi="SenBJS"/>
      <w:sz w:val="22"/>
      <w:szCs w:val="24"/>
    </w:rPr>
  </w:style>
  <w:style w:type="paragraph" w:styleId="Sprechblasentext">
    <w:name w:val="Balloon Text"/>
    <w:basedOn w:val="Standard"/>
    <w:link w:val="SprechblasentextZchn"/>
    <w:rsid w:val="00DB3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326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161F6F"/>
    <w:rPr>
      <w:rFonts w:ascii="Calibri" w:eastAsiaTheme="minorHAns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1F6F"/>
    <w:rPr>
      <w:rFonts w:ascii="Calibri" w:eastAsiaTheme="minorHAnsi" w:hAnsi="Calibri"/>
      <w:lang w:eastAsia="en-US"/>
    </w:rPr>
  </w:style>
  <w:style w:type="paragraph" w:styleId="KeinLeerraum">
    <w:name w:val="No Spacing"/>
    <w:basedOn w:val="Standard"/>
    <w:uiPriority w:val="1"/>
    <w:qFormat/>
    <w:rsid w:val="00161F6F"/>
    <w:rPr>
      <w:rFonts w:ascii="Calibri" w:eastAsiaTheme="minorHAnsi" w:hAnsi="Calibri"/>
      <w:szCs w:val="22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161F6F"/>
    <w:rPr>
      <w:vertAlign w:val="superscript"/>
    </w:rPr>
  </w:style>
  <w:style w:type="character" w:styleId="Kommentarzeichen">
    <w:name w:val="annotation reference"/>
    <w:basedOn w:val="Absatz-Standardschriftart"/>
    <w:rsid w:val="004D5F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D5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D5F79"/>
    <w:rPr>
      <w:rFonts w:ascii="SenBJS" w:hAnsi="SenBJS"/>
    </w:rPr>
  </w:style>
  <w:style w:type="paragraph" w:styleId="Kommentarthema">
    <w:name w:val="annotation subject"/>
    <w:basedOn w:val="Kommentartext"/>
    <w:next w:val="Kommentartext"/>
    <w:link w:val="KommentarthemaZchn"/>
    <w:rsid w:val="004D5F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5F79"/>
    <w:rPr>
      <w:rFonts w:ascii="SenBJS" w:hAnsi="SenBJ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SenBJS" w:hAnsi="SenBJS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character" w:styleId="Hyperlink">
    <w:name w:val="Hyperlink"/>
    <w:basedOn w:val="Absatz-Standardschriftart"/>
    <w:rsid w:val="006D6045"/>
    <w:rPr>
      <w:color w:val="0000FF" w:themeColor="hyperlink"/>
      <w:u w:val="single"/>
    </w:rPr>
  </w:style>
  <w:style w:type="character" w:customStyle="1" w:styleId="KopfzeileZchn">
    <w:name w:val="Kopfzeile Zchn"/>
    <w:link w:val="Kopfzeile"/>
    <w:rsid w:val="00ED1BE9"/>
    <w:rPr>
      <w:rFonts w:ascii="SenBJS" w:hAnsi="SenBJS"/>
      <w:sz w:val="22"/>
      <w:szCs w:val="24"/>
    </w:rPr>
  </w:style>
  <w:style w:type="paragraph" w:styleId="Sprechblasentext">
    <w:name w:val="Balloon Text"/>
    <w:basedOn w:val="Standard"/>
    <w:link w:val="SprechblasentextZchn"/>
    <w:rsid w:val="00DB3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326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161F6F"/>
    <w:rPr>
      <w:rFonts w:ascii="Calibri" w:eastAsiaTheme="minorHAns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1F6F"/>
    <w:rPr>
      <w:rFonts w:ascii="Calibri" w:eastAsiaTheme="minorHAnsi" w:hAnsi="Calibri"/>
      <w:lang w:eastAsia="en-US"/>
    </w:rPr>
  </w:style>
  <w:style w:type="paragraph" w:styleId="KeinLeerraum">
    <w:name w:val="No Spacing"/>
    <w:basedOn w:val="Standard"/>
    <w:uiPriority w:val="1"/>
    <w:qFormat/>
    <w:rsid w:val="00161F6F"/>
    <w:rPr>
      <w:rFonts w:ascii="Calibri" w:eastAsiaTheme="minorHAnsi" w:hAnsi="Calibri"/>
      <w:szCs w:val="22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161F6F"/>
    <w:rPr>
      <w:vertAlign w:val="superscript"/>
    </w:rPr>
  </w:style>
  <w:style w:type="character" w:styleId="Kommentarzeichen">
    <w:name w:val="annotation reference"/>
    <w:basedOn w:val="Absatz-Standardschriftart"/>
    <w:rsid w:val="004D5F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D5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D5F79"/>
    <w:rPr>
      <w:rFonts w:ascii="SenBJS" w:hAnsi="SenBJS"/>
    </w:rPr>
  </w:style>
  <w:style w:type="paragraph" w:styleId="Kommentarthema">
    <w:name w:val="annotation subject"/>
    <w:basedOn w:val="Kommentartext"/>
    <w:next w:val="Kommentartext"/>
    <w:link w:val="KommentarthemaZchn"/>
    <w:rsid w:val="004D5F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5F79"/>
    <w:rPr>
      <w:rFonts w:ascii="SenBJS" w:hAnsi="SenBJ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7673-08DB-44A9-8DC3-1B133748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CB2AE995</Template>
  <TotalTime>0</TotalTime>
  <Pages>2</Pages>
  <Words>367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Senatsverwaltung für Bildung, Jugend und Familie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Christiane Wagner</dc:creator>
  <cp:lastModifiedBy>Mößinger, Heike</cp:lastModifiedBy>
  <cp:revision>2</cp:revision>
  <cp:lastPrinted>2017-07-07T07:03:00Z</cp:lastPrinted>
  <dcterms:created xsi:type="dcterms:W3CDTF">2020-05-28T09:40:00Z</dcterms:created>
  <dcterms:modified xsi:type="dcterms:W3CDTF">2020-05-28T09:40:00Z</dcterms:modified>
</cp:coreProperties>
</file>